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EBDE33" w14:textId="6162F46C" w:rsidR="007E527C" w:rsidRPr="007E527C" w:rsidRDefault="007E527C" w:rsidP="007E527C">
      <w:pPr>
        <w:rPr>
          <w:rFonts w:ascii="Times New Roman" w:hAnsi="Times New Roman" w:cs="Times New Roman"/>
          <w:b/>
          <w:bCs/>
          <w:sz w:val="24"/>
          <w:szCs w:val="24"/>
        </w:rPr>
      </w:pPr>
      <w:r w:rsidRPr="007E527C">
        <w:rPr>
          <w:rFonts w:ascii="Times New Roman" w:hAnsi="Times New Roman" w:cs="Times New Roman"/>
          <w:b/>
          <w:bCs/>
          <w:sz w:val="24"/>
          <w:szCs w:val="24"/>
        </w:rPr>
        <w:t>ORDINANCE 2025-00</w:t>
      </w:r>
      <w:r w:rsidR="00B1642C">
        <w:rPr>
          <w:rFonts w:ascii="Times New Roman" w:hAnsi="Times New Roman" w:cs="Times New Roman"/>
          <w:b/>
          <w:bCs/>
          <w:sz w:val="24"/>
          <w:szCs w:val="24"/>
        </w:rPr>
        <w:t>12</w:t>
      </w:r>
    </w:p>
    <w:p w14:paraId="38B7F310" w14:textId="77777777" w:rsidR="007E527C" w:rsidRPr="007E527C" w:rsidRDefault="007E527C" w:rsidP="007E527C">
      <w:pPr>
        <w:rPr>
          <w:rFonts w:ascii="Times New Roman" w:hAnsi="Times New Roman" w:cs="Times New Roman"/>
          <w:b/>
          <w:bCs/>
          <w:sz w:val="24"/>
          <w:szCs w:val="24"/>
        </w:rPr>
      </w:pPr>
    </w:p>
    <w:p w14:paraId="03F490EC" w14:textId="61A34A0B" w:rsidR="007E527C" w:rsidRPr="007E527C" w:rsidRDefault="007E527C" w:rsidP="007E527C">
      <w:pPr>
        <w:rPr>
          <w:rFonts w:ascii="Times New Roman" w:hAnsi="Times New Roman" w:cs="Times New Roman"/>
          <w:b/>
          <w:bCs/>
          <w:sz w:val="24"/>
          <w:szCs w:val="24"/>
        </w:rPr>
      </w:pPr>
      <w:r w:rsidRPr="007E527C">
        <w:rPr>
          <w:rFonts w:ascii="Times New Roman" w:hAnsi="Times New Roman" w:cs="Times New Roman"/>
          <w:b/>
          <w:bCs/>
          <w:sz w:val="24"/>
          <w:szCs w:val="24"/>
        </w:rPr>
        <w:t xml:space="preserve">AN ORDINANCE OF THE BOARD OF TRUSTEES FOR THE TOWN OF FORT GIBSON AMENDING TITLE </w:t>
      </w:r>
      <w:r>
        <w:rPr>
          <w:rFonts w:ascii="Times New Roman" w:hAnsi="Times New Roman" w:cs="Times New Roman"/>
          <w:b/>
          <w:bCs/>
          <w:sz w:val="24"/>
          <w:szCs w:val="24"/>
        </w:rPr>
        <w:t>I</w:t>
      </w:r>
      <w:r w:rsidRPr="007E527C">
        <w:rPr>
          <w:rFonts w:ascii="Times New Roman" w:hAnsi="Times New Roman" w:cs="Times New Roman"/>
          <w:b/>
          <w:bCs/>
          <w:sz w:val="24"/>
          <w:szCs w:val="24"/>
        </w:rPr>
        <w:t xml:space="preserve">II, </w:t>
      </w:r>
      <w:r>
        <w:rPr>
          <w:rFonts w:ascii="Times New Roman" w:hAnsi="Times New Roman" w:cs="Times New Roman"/>
          <w:b/>
          <w:bCs/>
          <w:sz w:val="24"/>
          <w:szCs w:val="24"/>
        </w:rPr>
        <w:t>ADMINISTRATION</w:t>
      </w:r>
      <w:r w:rsidRPr="007E527C">
        <w:rPr>
          <w:rFonts w:ascii="Times New Roman" w:hAnsi="Times New Roman" w:cs="Times New Roman"/>
          <w:b/>
          <w:bCs/>
          <w:sz w:val="24"/>
          <w:szCs w:val="24"/>
        </w:rPr>
        <w:t xml:space="preserve">, CHAPTER </w:t>
      </w:r>
      <w:r>
        <w:rPr>
          <w:rFonts w:ascii="Times New Roman" w:hAnsi="Times New Roman" w:cs="Times New Roman"/>
          <w:b/>
          <w:bCs/>
          <w:sz w:val="24"/>
          <w:szCs w:val="24"/>
        </w:rPr>
        <w:t>33</w:t>
      </w:r>
      <w:r w:rsidRPr="007E527C">
        <w:rPr>
          <w:rFonts w:ascii="Times New Roman" w:hAnsi="Times New Roman" w:cs="Times New Roman"/>
          <w:b/>
          <w:bCs/>
          <w:sz w:val="24"/>
          <w:szCs w:val="24"/>
        </w:rPr>
        <w:t xml:space="preserve">, </w:t>
      </w:r>
      <w:r>
        <w:rPr>
          <w:rFonts w:ascii="Times New Roman" w:hAnsi="Times New Roman" w:cs="Times New Roman"/>
          <w:b/>
          <w:bCs/>
          <w:sz w:val="24"/>
          <w:szCs w:val="24"/>
        </w:rPr>
        <w:t>TOWN POLICIES</w:t>
      </w:r>
      <w:r w:rsidRPr="007E527C">
        <w:rPr>
          <w:rFonts w:ascii="Times New Roman" w:hAnsi="Times New Roman" w:cs="Times New Roman"/>
          <w:b/>
          <w:bCs/>
          <w:sz w:val="24"/>
          <w:szCs w:val="24"/>
        </w:rPr>
        <w:t xml:space="preserve">, SECTION </w:t>
      </w:r>
      <w:r>
        <w:rPr>
          <w:rFonts w:ascii="Times New Roman" w:hAnsi="Times New Roman" w:cs="Times New Roman"/>
          <w:b/>
          <w:bCs/>
          <w:sz w:val="24"/>
          <w:szCs w:val="24"/>
        </w:rPr>
        <w:t>33.15</w:t>
      </w:r>
      <w:r w:rsidRPr="007E527C">
        <w:rPr>
          <w:rFonts w:ascii="Times New Roman" w:hAnsi="Times New Roman" w:cs="Times New Roman"/>
          <w:b/>
          <w:bCs/>
          <w:sz w:val="24"/>
          <w:szCs w:val="24"/>
        </w:rPr>
        <w:t xml:space="preserve">, </w:t>
      </w:r>
      <w:r>
        <w:rPr>
          <w:rFonts w:ascii="Times New Roman" w:hAnsi="Times New Roman" w:cs="Times New Roman"/>
          <w:b/>
          <w:bCs/>
          <w:sz w:val="24"/>
          <w:szCs w:val="24"/>
        </w:rPr>
        <w:t>DEFINITIONS</w:t>
      </w:r>
      <w:r w:rsidRPr="007E527C">
        <w:rPr>
          <w:rFonts w:ascii="Times New Roman" w:hAnsi="Times New Roman" w:cs="Times New Roman"/>
          <w:b/>
          <w:bCs/>
          <w:sz w:val="24"/>
          <w:szCs w:val="24"/>
        </w:rPr>
        <w:t>, BY ADDING DEFINITIONS</w:t>
      </w:r>
      <w:r>
        <w:rPr>
          <w:rFonts w:ascii="Times New Roman" w:hAnsi="Times New Roman" w:cs="Times New Roman"/>
          <w:b/>
          <w:bCs/>
          <w:sz w:val="24"/>
          <w:szCs w:val="24"/>
        </w:rPr>
        <w:t>.</w:t>
      </w:r>
    </w:p>
    <w:p w14:paraId="5868549F" w14:textId="77777777" w:rsidR="007E527C" w:rsidRPr="007E527C" w:rsidRDefault="007E527C" w:rsidP="007E527C">
      <w:pPr>
        <w:rPr>
          <w:rFonts w:ascii="Times New Roman" w:hAnsi="Times New Roman" w:cs="Times New Roman"/>
          <w:b/>
          <w:bCs/>
          <w:sz w:val="24"/>
          <w:szCs w:val="24"/>
        </w:rPr>
      </w:pPr>
    </w:p>
    <w:p w14:paraId="35833C04" w14:textId="10772EAF" w:rsidR="007E527C" w:rsidRPr="007E527C" w:rsidRDefault="007E527C" w:rsidP="007E527C">
      <w:pPr>
        <w:jc w:val="both"/>
        <w:rPr>
          <w:rFonts w:ascii="Times New Roman" w:hAnsi="Times New Roman" w:cs="Times New Roman"/>
          <w:sz w:val="24"/>
          <w:szCs w:val="24"/>
        </w:rPr>
      </w:pPr>
      <w:r>
        <w:rPr>
          <w:rFonts w:ascii="Times New Roman" w:hAnsi="Times New Roman" w:cs="Times New Roman"/>
          <w:b/>
          <w:bCs/>
          <w:sz w:val="24"/>
          <w:szCs w:val="24"/>
          <w:u w:val="single"/>
        </w:rPr>
        <w:t>33.15 Definitions</w:t>
      </w:r>
    </w:p>
    <w:p w14:paraId="06A240A5" w14:textId="77777777" w:rsidR="007E527C" w:rsidRPr="007E527C" w:rsidRDefault="007E527C" w:rsidP="007E527C">
      <w:pPr>
        <w:jc w:val="both"/>
        <w:rPr>
          <w:rFonts w:ascii="Times New Roman" w:hAnsi="Times New Roman" w:cs="Times New Roman"/>
          <w:sz w:val="24"/>
          <w:szCs w:val="24"/>
        </w:rPr>
      </w:pPr>
    </w:p>
    <w:p w14:paraId="7284A959" w14:textId="45F4B6D4" w:rsidR="007E527C" w:rsidRPr="007E527C" w:rsidRDefault="007E527C" w:rsidP="007E527C">
      <w:pPr>
        <w:jc w:val="both"/>
        <w:rPr>
          <w:rFonts w:ascii="Times New Roman" w:hAnsi="Times New Roman" w:cs="Times New Roman"/>
          <w:sz w:val="24"/>
          <w:szCs w:val="24"/>
        </w:rPr>
      </w:pPr>
      <w:r>
        <w:rPr>
          <w:rFonts w:ascii="Times New Roman" w:hAnsi="Times New Roman" w:cs="Times New Roman"/>
          <w:sz w:val="24"/>
          <w:szCs w:val="24"/>
        </w:rPr>
        <w:tab/>
      </w:r>
    </w:p>
    <w:p w14:paraId="6661AC2C" w14:textId="55F6FDD7" w:rsidR="007E527C" w:rsidRPr="007E527C" w:rsidRDefault="007E527C" w:rsidP="007E527C">
      <w:pPr>
        <w:jc w:val="both"/>
        <w:rPr>
          <w:rFonts w:ascii="Times New Roman" w:hAnsi="Times New Roman" w:cs="Times New Roman"/>
          <w:sz w:val="24"/>
          <w:szCs w:val="24"/>
        </w:rPr>
      </w:pPr>
    </w:p>
    <w:p w14:paraId="31F68AF1" w14:textId="77777777" w:rsidR="007E527C" w:rsidRPr="007E527C" w:rsidRDefault="007E527C" w:rsidP="007E527C">
      <w:pPr>
        <w:pStyle w:val="NormalWeb"/>
        <w:shd w:val="clear" w:color="auto" w:fill="FFFFFF"/>
        <w:spacing w:before="0" w:beforeAutospacing="0" w:after="150" w:afterAutospacing="0"/>
        <w:jc w:val="both"/>
        <w:rPr>
          <w:color w:val="515967"/>
          <w:sz w:val="22"/>
          <w:szCs w:val="22"/>
        </w:rPr>
      </w:pPr>
      <w:r w:rsidRPr="007E527C">
        <w:rPr>
          <w:color w:val="515967"/>
          <w:sz w:val="22"/>
          <w:szCs w:val="22"/>
        </w:rPr>
        <w:t>INDOOR AREA. Any indoor town-owned/operated property. An INDOOR AREA includes work areas, employee lounges, restrooms, conference rooms, classrooms, employee cafeterias, hallways, any other spaces used or visited by employees or the public, and all space between a floor and ceiling that is predominantly or totally enclosed by walls or windows, regardless of doors, doorways, open or closed windows, stairways, or the like. The provisions of this section shall apply to such indoor areas at any given time, whether or not work is being performed.</w:t>
      </w:r>
    </w:p>
    <w:p w14:paraId="5A3D023C" w14:textId="77777777" w:rsidR="007E527C" w:rsidRPr="007E527C" w:rsidRDefault="007E527C" w:rsidP="007E527C">
      <w:pPr>
        <w:pStyle w:val="NormalWeb"/>
        <w:shd w:val="clear" w:color="auto" w:fill="FFFFFF"/>
        <w:spacing w:before="0" w:beforeAutospacing="0" w:after="150" w:afterAutospacing="0"/>
        <w:jc w:val="both"/>
        <w:rPr>
          <w:color w:val="515967"/>
          <w:sz w:val="22"/>
          <w:szCs w:val="22"/>
        </w:rPr>
      </w:pPr>
      <w:r w:rsidRPr="007E527C">
        <w:rPr>
          <w:color w:val="515967"/>
          <w:sz w:val="22"/>
          <w:szCs w:val="22"/>
        </w:rPr>
        <w:t>OUTDOOR AREA. Any covered area, partially covered area, or area open to the sky that is on a property owned or operated by the town.</w:t>
      </w:r>
    </w:p>
    <w:p w14:paraId="718BAAF5" w14:textId="77777777" w:rsidR="007E527C" w:rsidRPr="007E527C" w:rsidRDefault="007E527C" w:rsidP="007E527C">
      <w:pPr>
        <w:pStyle w:val="NormalWeb"/>
        <w:shd w:val="clear" w:color="auto" w:fill="FFFFFF"/>
        <w:spacing w:before="0" w:beforeAutospacing="0" w:after="150" w:afterAutospacing="0"/>
        <w:jc w:val="both"/>
        <w:rPr>
          <w:color w:val="515967"/>
          <w:sz w:val="22"/>
          <w:szCs w:val="22"/>
        </w:rPr>
      </w:pPr>
      <w:r w:rsidRPr="007E527C">
        <w:rPr>
          <w:color w:val="515967"/>
          <w:sz w:val="22"/>
          <w:szCs w:val="22"/>
        </w:rPr>
        <w:t>RECREATIONAL AREA. Any area that is owned, controlled, or used by the town and open to the general public for recreational purposes, regardless of any fee or age requirement. The term RECREATIONAL AREA includes but is not limited to parks, picnic areas, playgrounds, sports fields, golf courses, walking paths, gardens, hiking trails, bike paths, riding trails, swimming pools, roller and ice skating rinks, beaches surrounding lakes, and skateboard parks.</w:t>
      </w:r>
    </w:p>
    <w:p w14:paraId="162A802D" w14:textId="77777777" w:rsidR="007E527C" w:rsidRPr="007E527C" w:rsidRDefault="007E527C" w:rsidP="007E527C">
      <w:pPr>
        <w:pStyle w:val="NormalWeb"/>
        <w:shd w:val="clear" w:color="auto" w:fill="FFFFFF"/>
        <w:spacing w:before="0" w:beforeAutospacing="0" w:after="150" w:afterAutospacing="0"/>
        <w:jc w:val="both"/>
        <w:rPr>
          <w:color w:val="515967"/>
          <w:sz w:val="22"/>
          <w:szCs w:val="22"/>
        </w:rPr>
      </w:pPr>
      <w:r w:rsidRPr="007E527C">
        <w:rPr>
          <w:color w:val="515967"/>
          <w:sz w:val="22"/>
          <w:szCs w:val="22"/>
        </w:rPr>
        <w:t>TOBACCO PRODUCT. Any product that contains or is derived from tobacco and is intended for human consumption excluding drugs or devices approved for cessation of the United States Food and Drug Administration. This includes e-cigarettes and vapor products, with or without nicotine.</w:t>
      </w:r>
    </w:p>
    <w:p w14:paraId="77840BE5" w14:textId="77777777" w:rsidR="007E527C" w:rsidRPr="007E527C" w:rsidRDefault="007E527C" w:rsidP="007E527C">
      <w:pPr>
        <w:pStyle w:val="NormalWeb"/>
        <w:shd w:val="clear" w:color="auto" w:fill="FFFFFF"/>
        <w:spacing w:before="0" w:beforeAutospacing="0" w:after="150" w:afterAutospacing="0"/>
        <w:jc w:val="both"/>
        <w:rPr>
          <w:color w:val="515967"/>
          <w:sz w:val="22"/>
          <w:szCs w:val="22"/>
        </w:rPr>
      </w:pPr>
      <w:r w:rsidRPr="007E527C">
        <w:rPr>
          <w:color w:val="515967"/>
          <w:sz w:val="22"/>
          <w:szCs w:val="22"/>
        </w:rPr>
        <w:t>TOBACCO-FREE. To prohibit the use of any tobacco product by anyone, anywhere, at any time.</w:t>
      </w:r>
    </w:p>
    <w:p w14:paraId="1FC95052" w14:textId="77777777" w:rsidR="007E527C" w:rsidRDefault="007E527C" w:rsidP="007E527C">
      <w:pPr>
        <w:pStyle w:val="NormalWeb"/>
        <w:shd w:val="clear" w:color="auto" w:fill="FFFFFF"/>
        <w:spacing w:before="0" w:beforeAutospacing="0" w:after="150" w:afterAutospacing="0"/>
        <w:jc w:val="both"/>
        <w:rPr>
          <w:color w:val="515967"/>
          <w:sz w:val="22"/>
          <w:szCs w:val="22"/>
        </w:rPr>
      </w:pPr>
      <w:r w:rsidRPr="007E527C">
        <w:rPr>
          <w:color w:val="515967"/>
          <w:sz w:val="22"/>
          <w:szCs w:val="22"/>
        </w:rPr>
        <w:t>VAPOR PRODUCT. Noncombustible products, that may or may not contain nicotine, that employ a mechanical heating element, battery, electronic circuit, or other mechanism, regardless of shape or size, that can be used to produce a vapor cartridge or other container with or without nicotine or other form that is intended to be used with an electronic cigarette, electronic cigar, electronic cigarillo, electronic pipe, or similar product or device. VAPOR PRODUCTS do not include any products regulated by the United States Food, Drug and Cosmetic Act, being 21 U.S.C. §§ 301 et seq.</w:t>
      </w:r>
    </w:p>
    <w:p w14:paraId="0DE03453" w14:textId="58C30A45" w:rsidR="007E527C" w:rsidRDefault="007E527C" w:rsidP="007E527C">
      <w:pPr>
        <w:pStyle w:val="NormalWeb"/>
        <w:shd w:val="clear" w:color="auto" w:fill="FFFFFF"/>
        <w:spacing w:before="0" w:beforeAutospacing="0" w:after="150" w:afterAutospacing="0"/>
        <w:jc w:val="both"/>
        <w:rPr>
          <w:color w:val="FF0000"/>
          <w:sz w:val="22"/>
          <w:szCs w:val="22"/>
        </w:rPr>
      </w:pPr>
      <w:r>
        <w:rPr>
          <w:color w:val="FF0000"/>
          <w:sz w:val="22"/>
          <w:szCs w:val="22"/>
        </w:rPr>
        <w:t xml:space="preserve">PROOF OF AGE. Means a driver license for identification only, or other generally accepted means of identification that describes the individual as twenty-one (21) years of age or older and contains a photograph or other likeness of the individual and appears on its face to be valid; </w:t>
      </w:r>
    </w:p>
    <w:p w14:paraId="0DC46BF8" w14:textId="36081112" w:rsidR="007E527C" w:rsidRDefault="007E527C" w:rsidP="007E527C">
      <w:pPr>
        <w:pStyle w:val="NormalWeb"/>
        <w:shd w:val="clear" w:color="auto" w:fill="FFFFFF"/>
        <w:spacing w:before="0" w:beforeAutospacing="0" w:after="150" w:afterAutospacing="0"/>
        <w:jc w:val="both"/>
        <w:rPr>
          <w:color w:val="FF0000"/>
          <w:sz w:val="22"/>
          <w:szCs w:val="22"/>
        </w:rPr>
      </w:pPr>
      <w:r>
        <w:rPr>
          <w:color w:val="FF0000"/>
          <w:sz w:val="22"/>
          <w:szCs w:val="22"/>
        </w:rPr>
        <w:t>SAMPLE. Means a tobacco product, nicotine product or vapor product distributed to members of the public at no cost for the purpose of promoting the product;</w:t>
      </w:r>
    </w:p>
    <w:p w14:paraId="4BA86FB9" w14:textId="796FED93" w:rsidR="007E527C" w:rsidRDefault="007E527C" w:rsidP="007E527C">
      <w:pPr>
        <w:pStyle w:val="NormalWeb"/>
        <w:shd w:val="clear" w:color="auto" w:fill="FFFFFF"/>
        <w:spacing w:before="0" w:beforeAutospacing="0" w:after="150" w:afterAutospacing="0"/>
        <w:jc w:val="both"/>
        <w:rPr>
          <w:color w:val="FF0000"/>
          <w:sz w:val="22"/>
          <w:szCs w:val="22"/>
        </w:rPr>
      </w:pPr>
      <w:r>
        <w:rPr>
          <w:color w:val="FF0000"/>
          <w:sz w:val="22"/>
          <w:szCs w:val="22"/>
        </w:rPr>
        <w:t xml:space="preserve">NICOTINE PRODUCTS. Means any product that contains nicotine extracted or isolated from plants, vegetables, fruit, herbs, weeds, genetically modified organic matter, or that is synthetic in origin and is intended for human consumption. This term shall not include products approved by the United States Food and Drug Administration for smoking cessation. </w:t>
      </w:r>
    </w:p>
    <w:p w14:paraId="08ADA493" w14:textId="77777777" w:rsidR="002D0407" w:rsidRDefault="002D0407" w:rsidP="007E527C">
      <w:pPr>
        <w:pStyle w:val="NormalWeb"/>
        <w:shd w:val="clear" w:color="auto" w:fill="FFFFFF"/>
        <w:spacing w:before="0" w:beforeAutospacing="0" w:after="150" w:afterAutospacing="0"/>
        <w:jc w:val="both"/>
        <w:rPr>
          <w:color w:val="FF0000"/>
          <w:sz w:val="22"/>
          <w:szCs w:val="22"/>
        </w:rPr>
      </w:pPr>
    </w:p>
    <w:p w14:paraId="4C17031A" w14:textId="77777777" w:rsidR="007E527C" w:rsidRPr="007E527C" w:rsidRDefault="007E527C" w:rsidP="007E527C">
      <w:pPr>
        <w:jc w:val="both"/>
        <w:rPr>
          <w:rFonts w:ascii="Times New Roman" w:hAnsi="Times New Roman" w:cs="Times New Roman"/>
          <w:sz w:val="24"/>
          <w:szCs w:val="24"/>
        </w:rPr>
      </w:pPr>
    </w:p>
    <w:p w14:paraId="29DEE499" w14:textId="5EB3E386" w:rsidR="007E527C" w:rsidRPr="007E527C" w:rsidRDefault="00E45D50" w:rsidP="007E527C">
      <w:pPr>
        <w:jc w:val="both"/>
        <w:rPr>
          <w:rFonts w:ascii="Times New Roman" w:hAnsi="Times New Roman" w:cs="Times New Roman"/>
          <w:sz w:val="24"/>
          <w:szCs w:val="24"/>
        </w:rPr>
      </w:pPr>
      <w:r>
        <w:rPr>
          <w:noProof/>
        </w:rPr>
        <w:drawing>
          <wp:inline distT="0" distB="0" distL="0" distR="0" wp14:anchorId="362C6C0A" wp14:editId="10B1E3EC">
            <wp:extent cx="5943600" cy="2265045"/>
            <wp:effectExtent l="0" t="0" r="0" b="1905"/>
            <wp:docPr id="1989242465"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242465" name="Picture 1" descr="A close-up of a document&#10;&#10;Description automatically generated"/>
                    <pic:cNvPicPr/>
                  </pic:nvPicPr>
                  <pic:blipFill>
                    <a:blip r:embed="rId5"/>
                    <a:stretch>
                      <a:fillRect/>
                    </a:stretch>
                  </pic:blipFill>
                  <pic:spPr>
                    <a:xfrm>
                      <a:off x="0" y="0"/>
                      <a:ext cx="5943600" cy="2265045"/>
                    </a:xfrm>
                    <a:prstGeom prst="rect">
                      <a:avLst/>
                    </a:prstGeom>
                  </pic:spPr>
                </pic:pic>
              </a:graphicData>
            </a:graphic>
          </wp:inline>
        </w:drawing>
      </w:r>
    </w:p>
    <w:p w14:paraId="3CF60622" w14:textId="77777777" w:rsidR="00617514" w:rsidRDefault="00617514"/>
    <w:sectPr w:rsidR="006175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0901DA4"/>
    <w:multiLevelType w:val="hybridMultilevel"/>
    <w:tmpl w:val="39168318"/>
    <w:lvl w:ilvl="0" w:tplc="34DEA3B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808738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27C"/>
    <w:rsid w:val="002D0407"/>
    <w:rsid w:val="00357D3B"/>
    <w:rsid w:val="00617514"/>
    <w:rsid w:val="006D3665"/>
    <w:rsid w:val="007361F0"/>
    <w:rsid w:val="007E527C"/>
    <w:rsid w:val="00936BC2"/>
    <w:rsid w:val="00AC27F7"/>
    <w:rsid w:val="00B1642C"/>
    <w:rsid w:val="00BC1553"/>
    <w:rsid w:val="00C23198"/>
    <w:rsid w:val="00E45D50"/>
    <w:rsid w:val="00F20F13"/>
    <w:rsid w:val="00F65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5658E"/>
  <w15:chartTrackingRefBased/>
  <w15:docId w15:val="{DB7BFF0F-B931-471B-991F-E402123AF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52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52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52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52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52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527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527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527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527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52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52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52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52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52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52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52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52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527C"/>
    <w:rPr>
      <w:rFonts w:eastAsiaTheme="majorEastAsia" w:cstheme="majorBidi"/>
      <w:color w:val="272727" w:themeColor="text1" w:themeTint="D8"/>
    </w:rPr>
  </w:style>
  <w:style w:type="paragraph" w:styleId="Title">
    <w:name w:val="Title"/>
    <w:basedOn w:val="Normal"/>
    <w:next w:val="Normal"/>
    <w:link w:val="TitleChar"/>
    <w:uiPriority w:val="10"/>
    <w:qFormat/>
    <w:rsid w:val="007E527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52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527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52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527C"/>
    <w:pPr>
      <w:spacing w:before="160" w:after="160"/>
    </w:pPr>
    <w:rPr>
      <w:i/>
      <w:iCs/>
      <w:color w:val="404040" w:themeColor="text1" w:themeTint="BF"/>
    </w:rPr>
  </w:style>
  <w:style w:type="character" w:customStyle="1" w:styleId="QuoteChar">
    <w:name w:val="Quote Char"/>
    <w:basedOn w:val="DefaultParagraphFont"/>
    <w:link w:val="Quote"/>
    <w:uiPriority w:val="29"/>
    <w:rsid w:val="007E527C"/>
    <w:rPr>
      <w:i/>
      <w:iCs/>
      <w:color w:val="404040" w:themeColor="text1" w:themeTint="BF"/>
    </w:rPr>
  </w:style>
  <w:style w:type="paragraph" w:styleId="ListParagraph">
    <w:name w:val="List Paragraph"/>
    <w:basedOn w:val="Normal"/>
    <w:uiPriority w:val="34"/>
    <w:qFormat/>
    <w:rsid w:val="007E527C"/>
    <w:pPr>
      <w:ind w:left="720"/>
      <w:contextualSpacing/>
    </w:pPr>
  </w:style>
  <w:style w:type="character" w:styleId="IntenseEmphasis">
    <w:name w:val="Intense Emphasis"/>
    <w:basedOn w:val="DefaultParagraphFont"/>
    <w:uiPriority w:val="21"/>
    <w:qFormat/>
    <w:rsid w:val="007E527C"/>
    <w:rPr>
      <w:i/>
      <w:iCs/>
      <w:color w:val="0F4761" w:themeColor="accent1" w:themeShade="BF"/>
    </w:rPr>
  </w:style>
  <w:style w:type="paragraph" w:styleId="IntenseQuote">
    <w:name w:val="Intense Quote"/>
    <w:basedOn w:val="Normal"/>
    <w:next w:val="Normal"/>
    <w:link w:val="IntenseQuoteChar"/>
    <w:uiPriority w:val="30"/>
    <w:qFormat/>
    <w:rsid w:val="007E527C"/>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7E527C"/>
    <w:rPr>
      <w:i/>
      <w:iCs/>
      <w:color w:val="0F4761" w:themeColor="accent1" w:themeShade="BF"/>
    </w:rPr>
  </w:style>
  <w:style w:type="character" w:styleId="IntenseReference">
    <w:name w:val="Intense Reference"/>
    <w:basedOn w:val="DefaultParagraphFont"/>
    <w:uiPriority w:val="32"/>
    <w:qFormat/>
    <w:rsid w:val="007E527C"/>
    <w:rPr>
      <w:b/>
      <w:bCs/>
      <w:smallCaps/>
      <w:color w:val="0F4761" w:themeColor="accent1" w:themeShade="BF"/>
      <w:spacing w:val="5"/>
    </w:rPr>
  </w:style>
  <w:style w:type="paragraph" w:styleId="NormalWeb">
    <w:name w:val="Normal (Web)"/>
    <w:basedOn w:val="Normal"/>
    <w:uiPriority w:val="99"/>
    <w:semiHidden/>
    <w:unhideWhenUsed/>
    <w:rsid w:val="007E527C"/>
    <w:pPr>
      <w:spacing w:before="100" w:beforeAutospacing="1" w:after="100" w:afterAutospacing="1"/>
      <w:jc w:val="left"/>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581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465</Words>
  <Characters>2653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Town Clerk</cp:lastModifiedBy>
  <cp:revision>3</cp:revision>
  <dcterms:created xsi:type="dcterms:W3CDTF">2024-09-17T19:44:00Z</dcterms:created>
  <dcterms:modified xsi:type="dcterms:W3CDTF">2024-10-15T15:16:00Z</dcterms:modified>
</cp:coreProperties>
</file>